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98" w:rsidRDefault="008D600F" w:rsidP="00766798">
      <w:pPr>
        <w:pStyle w:val="Zkladntext21"/>
        <w:spacing w:line="240" w:lineRule="exact"/>
      </w:pPr>
      <w:r>
        <w:t>12</w:t>
      </w:r>
      <w:r w:rsidR="00766798">
        <w:t>/ O R G A N I Z A Č N Í   Ř Á D</w:t>
      </w:r>
    </w:p>
    <w:p w:rsidR="00766798" w:rsidRDefault="00766798" w:rsidP="00766798">
      <w:pPr>
        <w:pStyle w:val="Zkladntext"/>
        <w:spacing w:line="240" w:lineRule="exact"/>
        <w:rPr>
          <w:b/>
          <w:u w:val="single"/>
        </w:rPr>
      </w:pPr>
    </w:p>
    <w:p w:rsidR="00CD3F52" w:rsidRDefault="00CD3F52" w:rsidP="00766798">
      <w:pPr>
        <w:pStyle w:val="Zkladntext"/>
        <w:spacing w:line="240" w:lineRule="exact"/>
        <w:rPr>
          <w:b/>
          <w:u w:val="single"/>
        </w:rPr>
      </w:pPr>
    </w:p>
    <w:p w:rsidR="00766798" w:rsidRDefault="00766798" w:rsidP="00766798">
      <w:pPr>
        <w:pStyle w:val="Zkladntext"/>
        <w:spacing w:line="240" w:lineRule="exact"/>
        <w:rPr>
          <w:b/>
          <w:u w:val="single"/>
        </w:rPr>
      </w:pPr>
      <w:r>
        <w:rPr>
          <w:b/>
          <w:u w:val="single"/>
        </w:rPr>
        <w:t>I. Úvodní ustanovení</w:t>
      </w:r>
    </w:p>
    <w:p w:rsidR="00766798" w:rsidRDefault="00766798" w:rsidP="00766798">
      <w:pPr>
        <w:pStyle w:val="Zkladntext"/>
        <w:spacing w:line="240" w:lineRule="exact"/>
      </w:pPr>
      <w:r>
        <w:t xml:space="preserve">     Tento organizační řád je základním předpisem obce. Je vydán proto, aby:</w:t>
      </w:r>
    </w:p>
    <w:p w:rsidR="00766798" w:rsidRDefault="00766798" w:rsidP="00766798">
      <w:pPr>
        <w:numPr>
          <w:ilvl w:val="0"/>
          <w:numId w:val="1"/>
        </w:numPr>
        <w:tabs>
          <w:tab w:val="left" w:pos="720"/>
        </w:tabs>
        <w:spacing w:before="120" w:line="240" w:lineRule="exact"/>
        <w:ind w:left="720"/>
        <w:rPr>
          <w:sz w:val="24"/>
        </w:rPr>
      </w:pPr>
      <w:r>
        <w:rPr>
          <w:sz w:val="24"/>
        </w:rPr>
        <w:t>stanovil dělbu pravomocí a odpovědností, tzn., aby upravil vnitřní organizaci v obci</w:t>
      </w:r>
    </w:p>
    <w:p w:rsidR="00766798" w:rsidRDefault="00766798" w:rsidP="00766798">
      <w:pPr>
        <w:numPr>
          <w:ilvl w:val="0"/>
          <w:numId w:val="1"/>
        </w:numPr>
        <w:tabs>
          <w:tab w:val="left" w:pos="720"/>
        </w:tabs>
        <w:spacing w:before="120" w:line="240" w:lineRule="exact"/>
        <w:ind w:left="720"/>
        <w:rPr>
          <w:sz w:val="24"/>
        </w:rPr>
      </w:pPr>
      <w:r>
        <w:rPr>
          <w:sz w:val="24"/>
        </w:rPr>
        <w:t>podrobněji specifikoval základní úkoly obce, které jsou pro obec stanoveny v zřizovací listině (statutu)</w:t>
      </w:r>
    </w:p>
    <w:p w:rsidR="00766798" w:rsidRDefault="00766798" w:rsidP="00766798">
      <w:pPr>
        <w:numPr>
          <w:ilvl w:val="0"/>
          <w:numId w:val="1"/>
        </w:numPr>
        <w:tabs>
          <w:tab w:val="left" w:pos="720"/>
        </w:tabs>
        <w:spacing w:before="120" w:line="240" w:lineRule="exact"/>
        <w:ind w:left="720"/>
        <w:rPr>
          <w:sz w:val="24"/>
        </w:rPr>
      </w:pPr>
      <w:r>
        <w:rPr>
          <w:sz w:val="24"/>
        </w:rPr>
        <w:t>vytvořil předpoklady pro správný výkon řídících vazeb v obci</w:t>
      </w:r>
    </w:p>
    <w:p w:rsidR="00766798" w:rsidRDefault="00766798" w:rsidP="00766798">
      <w:pPr>
        <w:spacing w:before="120" w:line="240" w:lineRule="exact"/>
        <w:rPr>
          <w:sz w:val="24"/>
        </w:rPr>
      </w:pPr>
      <w:r>
        <w:rPr>
          <w:sz w:val="24"/>
        </w:rPr>
        <w:t xml:space="preserve">     </w:t>
      </w:r>
    </w:p>
    <w:p w:rsidR="00CD3F52" w:rsidRDefault="00CD3F52" w:rsidP="00766798">
      <w:pPr>
        <w:spacing w:before="120" w:line="240" w:lineRule="exact"/>
        <w:rPr>
          <w:sz w:val="24"/>
        </w:rPr>
      </w:pPr>
    </w:p>
    <w:p w:rsidR="00766798" w:rsidRDefault="00766798" w:rsidP="00766798">
      <w:pPr>
        <w:pStyle w:val="Zkladntext21"/>
        <w:spacing w:line="240" w:lineRule="exact"/>
        <w:rPr>
          <w:b w:val="0"/>
        </w:rPr>
      </w:pPr>
      <w:r>
        <w:t>II. Základní údaje a postavení obce</w:t>
      </w:r>
    </w:p>
    <w:p w:rsidR="00766798" w:rsidRDefault="00766798" w:rsidP="00766798">
      <w:pPr>
        <w:spacing w:before="120" w:line="240" w:lineRule="exact"/>
        <w:rPr>
          <w:sz w:val="24"/>
        </w:rPr>
      </w:pPr>
      <w:r>
        <w:rPr>
          <w:sz w:val="24"/>
        </w:rPr>
        <w:t xml:space="preserve">Dne </w:t>
      </w:r>
      <w:proofErr w:type="gramStart"/>
      <w:r>
        <w:rPr>
          <w:sz w:val="24"/>
        </w:rPr>
        <w:t>23.11.1990</w:t>
      </w:r>
      <w:proofErr w:type="gramEnd"/>
      <w:r>
        <w:rPr>
          <w:sz w:val="24"/>
        </w:rPr>
        <w:t xml:space="preserve"> vznikl zákonem č. 367/1990 územní samosprávní celek  Obec Obříství jako samostatný subjekt /dále jen obec/.</w:t>
      </w:r>
    </w:p>
    <w:p w:rsidR="00766798" w:rsidRDefault="00766798" w:rsidP="00766798">
      <w:pPr>
        <w:spacing w:before="120" w:line="240" w:lineRule="exact"/>
        <w:rPr>
          <w:sz w:val="24"/>
        </w:rPr>
      </w:pPr>
      <w:r>
        <w:rPr>
          <w:sz w:val="24"/>
        </w:rPr>
        <w:t>Sídlem obce je Obříství</w:t>
      </w:r>
      <w:r w:rsidR="00A010BB">
        <w:rPr>
          <w:sz w:val="24"/>
        </w:rPr>
        <w:t>, Svatopluka Čecha</w:t>
      </w:r>
      <w:r>
        <w:rPr>
          <w:sz w:val="24"/>
        </w:rPr>
        <w:t xml:space="preserve"> 40, 277 42  Obříství. Obec je právnickou osobou a v právních vztazích vystupuje svým jménem a nese odpovědnost z těchto vztahů vyplývající. Za porušení svých závazků a jiných právních povinností odpovídá obec svým majetkem.</w:t>
      </w:r>
    </w:p>
    <w:p w:rsidR="00766798" w:rsidRDefault="00766798" w:rsidP="00766798">
      <w:pPr>
        <w:spacing w:before="120" w:line="240" w:lineRule="exact"/>
        <w:rPr>
          <w:sz w:val="24"/>
        </w:rPr>
      </w:pPr>
      <w:r>
        <w:rPr>
          <w:sz w:val="24"/>
        </w:rPr>
        <w:t xml:space="preserve">Jejím základním předmětem činnosti dle zřizovací listiny je „všeobecná veřejná </w:t>
      </w:r>
      <w:proofErr w:type="gramStart"/>
      <w:r>
        <w:rPr>
          <w:sz w:val="24"/>
        </w:rPr>
        <w:t>správa“ .</w:t>
      </w:r>
      <w:proofErr w:type="gramEnd"/>
      <w:r>
        <w:rPr>
          <w:sz w:val="24"/>
        </w:rPr>
        <w:t xml:space="preserve"> </w:t>
      </w:r>
    </w:p>
    <w:p w:rsidR="000E0E9B" w:rsidRDefault="000E0E9B" w:rsidP="00766798">
      <w:pPr>
        <w:spacing w:before="120" w:line="240" w:lineRule="exact"/>
        <w:rPr>
          <w:sz w:val="24"/>
        </w:rPr>
      </w:pPr>
      <w:r w:rsidRPr="000E0E9B">
        <w:rPr>
          <w:sz w:val="24"/>
        </w:rPr>
        <w:t>Kromě této hlavní činnosti je obec oprávněna provozovat tuto hospodářskou činnost (</w:t>
      </w:r>
      <w:proofErr w:type="spellStart"/>
      <w:r w:rsidRPr="000E0E9B">
        <w:rPr>
          <w:sz w:val="24"/>
        </w:rPr>
        <w:t>HoČ</w:t>
      </w:r>
      <w:proofErr w:type="spellEnd"/>
      <w:r w:rsidRPr="000E0E9B">
        <w:rPr>
          <w:sz w:val="24"/>
        </w:rPr>
        <w:t xml:space="preserve">) </w:t>
      </w:r>
    </w:p>
    <w:p w:rsidR="00766798" w:rsidRDefault="00766798" w:rsidP="00766798">
      <w:pPr>
        <w:spacing w:before="120" w:line="240" w:lineRule="exact"/>
        <w:rPr>
          <w:sz w:val="24"/>
        </w:rPr>
      </w:pPr>
      <w:r>
        <w:rPr>
          <w:sz w:val="24"/>
        </w:rPr>
        <w:t xml:space="preserve">Pro zabezpečení své hlavní činnosti disponuje obec dlouhodobým majetkem v celkové výši cca </w:t>
      </w:r>
      <w:r w:rsidR="00A010BB">
        <w:rPr>
          <w:sz w:val="24"/>
        </w:rPr>
        <w:t>325</w:t>
      </w:r>
      <w:r>
        <w:rPr>
          <w:sz w:val="24"/>
        </w:rPr>
        <w:t xml:space="preserve"> </w:t>
      </w:r>
      <w:proofErr w:type="spellStart"/>
      <w:r>
        <w:rPr>
          <w:sz w:val="24"/>
        </w:rPr>
        <w:t>mil.</w:t>
      </w:r>
      <w:proofErr w:type="gramStart"/>
      <w:r>
        <w:rPr>
          <w:sz w:val="24"/>
        </w:rPr>
        <w:t>Kč</w:t>
      </w:r>
      <w:proofErr w:type="spellEnd"/>
      <w:r>
        <w:rPr>
          <w:sz w:val="24"/>
        </w:rPr>
        <w:t xml:space="preserve"> .Celková</w:t>
      </w:r>
      <w:proofErr w:type="gramEnd"/>
      <w:r>
        <w:rPr>
          <w:sz w:val="24"/>
        </w:rPr>
        <w:t xml:space="preserve"> aktiva /bilanční suma/ činí cca </w:t>
      </w:r>
      <w:r w:rsidR="00A010BB">
        <w:rPr>
          <w:sz w:val="24"/>
        </w:rPr>
        <w:t>409</w:t>
      </w:r>
      <w:r>
        <w:rPr>
          <w:sz w:val="24"/>
        </w:rPr>
        <w:t xml:space="preserve"> </w:t>
      </w:r>
      <w:proofErr w:type="spellStart"/>
      <w:r>
        <w:rPr>
          <w:sz w:val="24"/>
        </w:rPr>
        <w:t>mil.Kč</w:t>
      </w:r>
      <w:proofErr w:type="spellEnd"/>
      <w:r>
        <w:rPr>
          <w:sz w:val="24"/>
        </w:rPr>
        <w:t>.   K majetku má obec vlastnické právo. Nadřízeným orgánem obce je Středočeský kraj. Navenek zastupuje obec starosta, v jeho nepřítomnosti místostarosta. Dalším orgánem obce je zastupitelstvo. Chod obce je řízen tímto "Organizačním řádem", který je k dispozici všem zaměstnancům a kontrolním orgánům u starosty.</w:t>
      </w:r>
    </w:p>
    <w:p w:rsidR="00766798" w:rsidRDefault="00CB7841" w:rsidP="00766798">
      <w:pPr>
        <w:spacing w:before="120" w:line="240" w:lineRule="exact"/>
        <w:rPr>
          <w:sz w:val="24"/>
        </w:rPr>
      </w:pPr>
      <w:r>
        <w:rPr>
          <w:sz w:val="24"/>
        </w:rPr>
        <w:t xml:space="preserve">Obec </w:t>
      </w:r>
      <w:r w:rsidR="00A010BB">
        <w:rPr>
          <w:sz w:val="24"/>
        </w:rPr>
        <w:t>je</w:t>
      </w:r>
      <w:r w:rsidR="00766798">
        <w:rPr>
          <w:sz w:val="24"/>
        </w:rPr>
        <w:t xml:space="preserve"> plátcem DPH.</w:t>
      </w:r>
    </w:p>
    <w:p w:rsidR="00766798" w:rsidRDefault="00766798" w:rsidP="00766798">
      <w:pPr>
        <w:spacing w:before="120" w:line="240" w:lineRule="exact"/>
        <w:rPr>
          <w:sz w:val="24"/>
        </w:rPr>
      </w:pPr>
      <w:r>
        <w:rPr>
          <w:sz w:val="24"/>
        </w:rPr>
        <w:t xml:space="preserve">Obec je plátcem daně z příjmů </w:t>
      </w:r>
      <w:proofErr w:type="spellStart"/>
      <w:r>
        <w:rPr>
          <w:sz w:val="24"/>
        </w:rPr>
        <w:t>fyz</w:t>
      </w:r>
      <w:proofErr w:type="spellEnd"/>
      <w:r>
        <w:rPr>
          <w:sz w:val="24"/>
        </w:rPr>
        <w:t xml:space="preserve">. osob, daně z příjmů práv. </w:t>
      </w:r>
      <w:proofErr w:type="gramStart"/>
      <w:r>
        <w:rPr>
          <w:sz w:val="24"/>
        </w:rPr>
        <w:t>osob</w:t>
      </w:r>
      <w:proofErr w:type="gramEnd"/>
      <w:r>
        <w:rPr>
          <w:sz w:val="24"/>
        </w:rPr>
        <w:t>.</w:t>
      </w:r>
    </w:p>
    <w:p w:rsidR="00766798" w:rsidRDefault="00766798" w:rsidP="00766798">
      <w:pPr>
        <w:spacing w:before="120" w:line="240" w:lineRule="exact"/>
        <w:rPr>
          <w:sz w:val="24"/>
        </w:rPr>
      </w:pPr>
      <w:r>
        <w:rPr>
          <w:sz w:val="24"/>
        </w:rPr>
        <w:t xml:space="preserve">Financování běžné činnosti obce je zajištěno zdroji z místních a veřejných rozpočtů, samotná obec se v rámci jednoho účetního období řídí schváleným rozpočtem příjmů a </w:t>
      </w:r>
      <w:proofErr w:type="gramStart"/>
      <w:r>
        <w:rPr>
          <w:sz w:val="24"/>
        </w:rPr>
        <w:t>výdajů .</w:t>
      </w:r>
      <w:proofErr w:type="gramEnd"/>
    </w:p>
    <w:p w:rsidR="00766798" w:rsidRDefault="00766798" w:rsidP="00766798">
      <w:pPr>
        <w:spacing w:before="120" w:line="240" w:lineRule="exact"/>
        <w:rPr>
          <w:sz w:val="24"/>
        </w:rPr>
      </w:pPr>
      <w:r>
        <w:rPr>
          <w:sz w:val="24"/>
        </w:rPr>
        <w:t xml:space="preserve">Pro financování svých investičních potřeb využívá obec státních dotací a dotací od orgánů samosprávy (kraje) rovněž i leasing. </w:t>
      </w:r>
    </w:p>
    <w:p w:rsidR="00766798" w:rsidRDefault="00766798" w:rsidP="00766798">
      <w:pPr>
        <w:spacing w:before="120" w:line="240" w:lineRule="exact"/>
        <w:rPr>
          <w:sz w:val="24"/>
        </w:rPr>
      </w:pPr>
    </w:p>
    <w:p w:rsidR="00233937" w:rsidRDefault="00233937" w:rsidP="00766798">
      <w:pPr>
        <w:spacing w:before="120" w:line="240" w:lineRule="exact"/>
        <w:rPr>
          <w:sz w:val="24"/>
        </w:rPr>
      </w:pPr>
    </w:p>
    <w:p w:rsidR="00CD3F52" w:rsidRDefault="00CD3F52" w:rsidP="00766798">
      <w:pPr>
        <w:spacing w:before="120" w:line="240" w:lineRule="exact"/>
        <w:rPr>
          <w:sz w:val="24"/>
        </w:rPr>
      </w:pPr>
    </w:p>
    <w:p w:rsidR="00CD3F52" w:rsidRDefault="00CD3F52" w:rsidP="00766798">
      <w:pPr>
        <w:spacing w:before="120" w:line="240" w:lineRule="exact"/>
        <w:rPr>
          <w:sz w:val="24"/>
        </w:rPr>
      </w:pPr>
    </w:p>
    <w:p w:rsidR="00CD3F52" w:rsidRDefault="00CD3F52" w:rsidP="00766798">
      <w:pPr>
        <w:spacing w:before="120" w:line="240" w:lineRule="exact"/>
        <w:rPr>
          <w:sz w:val="24"/>
        </w:rPr>
      </w:pPr>
    </w:p>
    <w:p w:rsidR="00CD3F52" w:rsidRDefault="00CD3F52" w:rsidP="00766798">
      <w:pPr>
        <w:spacing w:before="120" w:line="240" w:lineRule="exact"/>
        <w:rPr>
          <w:sz w:val="24"/>
        </w:rPr>
      </w:pPr>
    </w:p>
    <w:p w:rsidR="00CD3F52" w:rsidRDefault="00CD3F52" w:rsidP="00766798">
      <w:pPr>
        <w:spacing w:before="120" w:line="240" w:lineRule="exact"/>
        <w:rPr>
          <w:sz w:val="24"/>
        </w:rPr>
      </w:pPr>
    </w:p>
    <w:p w:rsidR="00CD3F52" w:rsidRDefault="00CD3F52" w:rsidP="00766798">
      <w:pPr>
        <w:spacing w:before="120" w:line="240" w:lineRule="exact"/>
        <w:rPr>
          <w:sz w:val="24"/>
        </w:rPr>
      </w:pPr>
    </w:p>
    <w:p w:rsidR="00CD3F52" w:rsidRDefault="00CD3F52" w:rsidP="00766798">
      <w:pPr>
        <w:spacing w:before="120" w:line="240" w:lineRule="exact"/>
        <w:rPr>
          <w:sz w:val="24"/>
        </w:rPr>
      </w:pPr>
    </w:p>
    <w:p w:rsidR="00CD3F52" w:rsidRDefault="00CD3F52" w:rsidP="00766798">
      <w:pPr>
        <w:spacing w:before="120" w:line="240" w:lineRule="exact"/>
        <w:rPr>
          <w:sz w:val="24"/>
        </w:rPr>
      </w:pPr>
    </w:p>
    <w:p w:rsidR="00FF0692" w:rsidRDefault="00FF0692" w:rsidP="00766798">
      <w:pPr>
        <w:pStyle w:val="Nadpis2"/>
        <w:spacing w:line="240" w:lineRule="exact"/>
      </w:pPr>
    </w:p>
    <w:p w:rsidR="00FF0692" w:rsidRDefault="00FF0692" w:rsidP="00FF0692"/>
    <w:p w:rsidR="00FF0692" w:rsidRDefault="00FF0692" w:rsidP="00FF0692"/>
    <w:p w:rsidR="00FF0692" w:rsidRPr="00FF0692" w:rsidRDefault="00FF0692" w:rsidP="00FF0692"/>
    <w:p w:rsidR="00766798" w:rsidRDefault="00766798" w:rsidP="00766798">
      <w:pPr>
        <w:pStyle w:val="Nadpis2"/>
        <w:spacing w:line="240" w:lineRule="exact"/>
      </w:pPr>
      <w:r>
        <w:lastRenderedPageBreak/>
        <w:t>III. Organizační uspořádání, zajišťované činnosti</w:t>
      </w:r>
    </w:p>
    <w:p w:rsidR="00766798" w:rsidRDefault="00766798" w:rsidP="00766798"/>
    <w:p w:rsidR="00766798" w:rsidRPr="00FA6EF7" w:rsidRDefault="00766798" w:rsidP="00766798"/>
    <w:tbl>
      <w:tblPr>
        <w:tblW w:w="13796" w:type="dxa"/>
        <w:tblInd w:w="55" w:type="dxa"/>
        <w:tblCellMar>
          <w:left w:w="70" w:type="dxa"/>
          <w:right w:w="70" w:type="dxa"/>
        </w:tblCellMar>
        <w:tblLook w:val="0000" w:firstRow="0" w:lastRow="0" w:firstColumn="0" w:lastColumn="0" w:noHBand="0" w:noVBand="0"/>
      </w:tblPr>
      <w:tblGrid>
        <w:gridCol w:w="153"/>
        <w:gridCol w:w="9180"/>
        <w:gridCol w:w="184"/>
        <w:gridCol w:w="1380"/>
        <w:gridCol w:w="184"/>
        <w:gridCol w:w="2715"/>
      </w:tblGrid>
      <w:tr w:rsidR="00766798" w:rsidTr="00FF0692">
        <w:trPr>
          <w:trHeight w:val="499"/>
        </w:trPr>
        <w:tc>
          <w:tcPr>
            <w:tcW w:w="153" w:type="dxa"/>
            <w:tcBorders>
              <w:top w:val="nil"/>
              <w:left w:val="nil"/>
              <w:right w:val="nil"/>
            </w:tcBorders>
            <w:shd w:val="clear" w:color="auto" w:fill="auto"/>
            <w:noWrap/>
            <w:vAlign w:val="bottom"/>
          </w:tcPr>
          <w:p w:rsidR="00766798" w:rsidRPr="00FA6EF7" w:rsidRDefault="00766798" w:rsidP="00766798">
            <w:pPr>
              <w:overflowPunct/>
              <w:autoSpaceDE/>
              <w:autoSpaceDN/>
              <w:adjustRightInd/>
              <w:textAlignment w:val="auto"/>
              <w:rPr>
                <w:rFonts w:ascii="Arial" w:hAnsi="Arial" w:cs="Arial"/>
              </w:rPr>
            </w:pPr>
          </w:p>
        </w:tc>
        <w:tc>
          <w:tcPr>
            <w:tcW w:w="13643" w:type="dxa"/>
            <w:gridSpan w:val="5"/>
            <w:tcBorders>
              <w:top w:val="nil"/>
              <w:left w:val="nil"/>
              <w:right w:val="nil"/>
            </w:tcBorders>
            <w:shd w:val="clear" w:color="auto" w:fill="auto"/>
            <w:noWrap/>
            <w:vAlign w:val="bottom"/>
          </w:tcPr>
          <w:p w:rsidR="00766798" w:rsidRPr="00FA6EF7" w:rsidRDefault="00766798" w:rsidP="00766798">
            <w:pPr>
              <w:overflowPunct/>
              <w:autoSpaceDE/>
              <w:autoSpaceDN/>
              <w:adjustRightInd/>
              <w:textAlignment w:val="auto"/>
              <w:rPr>
                <w:rFonts w:ascii="Arial" w:hAnsi="Arial" w:cs="Arial"/>
                <w:b/>
                <w:bCs/>
                <w:sz w:val="28"/>
                <w:szCs w:val="28"/>
              </w:rPr>
            </w:pPr>
            <w:r w:rsidRPr="00FA6EF7">
              <w:rPr>
                <w:rFonts w:ascii="Arial" w:hAnsi="Arial" w:cs="Arial"/>
                <w:b/>
                <w:bCs/>
                <w:sz w:val="28"/>
                <w:szCs w:val="28"/>
              </w:rPr>
              <w:t>Organizační struktura - organizační řád obce Obříství</w:t>
            </w:r>
          </w:p>
        </w:tc>
      </w:tr>
      <w:tr w:rsidR="00FF0692" w:rsidTr="00FF0692">
        <w:trPr>
          <w:trHeight w:val="499"/>
        </w:trPr>
        <w:tc>
          <w:tcPr>
            <w:tcW w:w="153" w:type="dxa"/>
            <w:tcBorders>
              <w:top w:val="nil"/>
              <w:left w:val="nil"/>
              <w:bottom w:val="nil"/>
              <w:right w:val="nil"/>
            </w:tcBorders>
            <w:shd w:val="clear" w:color="auto" w:fill="auto"/>
            <w:noWrap/>
            <w:vAlign w:val="bottom"/>
          </w:tcPr>
          <w:p w:rsidR="00FF0692" w:rsidRPr="00FA6EF7" w:rsidRDefault="00FF0692" w:rsidP="00766798">
            <w:pPr>
              <w:overflowPunct/>
              <w:autoSpaceDE/>
              <w:autoSpaceDN/>
              <w:adjustRightInd/>
              <w:textAlignment w:val="auto"/>
              <w:rPr>
                <w:rFonts w:ascii="Arial" w:hAnsi="Arial" w:cs="Arial"/>
              </w:rPr>
            </w:pPr>
          </w:p>
        </w:tc>
        <w:tc>
          <w:tcPr>
            <w:tcW w:w="9180" w:type="dxa"/>
            <w:tcBorders>
              <w:top w:val="nil"/>
              <w:left w:val="nil"/>
              <w:bottom w:val="nil"/>
              <w:right w:val="nil"/>
            </w:tcBorders>
            <w:shd w:val="clear" w:color="auto" w:fill="auto"/>
            <w:noWrap/>
            <w:vAlign w:val="bottom"/>
          </w:tcPr>
          <w:p w:rsidR="00FF0692" w:rsidRDefault="00FF0692" w:rsidP="00766798">
            <w:pPr>
              <w:overflowPunct/>
              <w:autoSpaceDE/>
              <w:autoSpaceDN/>
              <w:adjustRightInd/>
              <w:textAlignment w:val="auto"/>
              <w:rPr>
                <w:rFonts w:ascii="Arial" w:hAnsi="Arial" w:cs="Arial"/>
              </w:rPr>
            </w:pPr>
          </w:p>
          <w:p w:rsidR="00FF0692" w:rsidRDefault="00FF0692" w:rsidP="00766798">
            <w:pPr>
              <w:overflowPunct/>
              <w:autoSpaceDE/>
              <w:autoSpaceDN/>
              <w:adjustRightInd/>
              <w:textAlignment w:val="auto"/>
              <w:rPr>
                <w:rFonts w:ascii="Arial" w:hAnsi="Arial" w:cs="Arial"/>
              </w:rPr>
            </w:pPr>
          </w:p>
          <w:p w:rsidR="00FF0692" w:rsidRPr="00635705" w:rsidRDefault="00FF0692" w:rsidP="00011EE7">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Starosta                             </w:t>
            </w:r>
            <w:r>
              <w:rPr>
                <w:rFonts w:ascii="Arial" w:hAnsi="Arial" w:cs="Arial"/>
                <w:color w:val="000000"/>
                <w:sz w:val="24"/>
                <w:szCs w:val="24"/>
              </w:rPr>
              <w:t xml:space="preserve"> </w:t>
            </w:r>
            <w:r w:rsidR="00A24398">
              <w:rPr>
                <w:rFonts w:ascii="Arial" w:hAnsi="Arial" w:cs="Arial"/>
                <w:color w:val="000000"/>
                <w:sz w:val="24"/>
                <w:szCs w:val="24"/>
              </w:rPr>
              <w:t>Renáta Šulcová</w:t>
            </w:r>
          </w:p>
          <w:p w:rsidR="00FF0692" w:rsidRPr="00635705" w:rsidRDefault="00FF0692" w:rsidP="00011EE7">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Místostarosta                     </w:t>
            </w:r>
            <w:r>
              <w:rPr>
                <w:rFonts w:ascii="Arial" w:hAnsi="Arial" w:cs="Arial"/>
                <w:color w:val="000000"/>
                <w:sz w:val="24"/>
                <w:szCs w:val="24"/>
              </w:rPr>
              <w:t xml:space="preserve"> </w:t>
            </w:r>
            <w:r w:rsidR="00A24398">
              <w:rPr>
                <w:rFonts w:ascii="Arial" w:hAnsi="Arial" w:cs="Arial"/>
                <w:color w:val="000000"/>
                <w:sz w:val="24"/>
                <w:szCs w:val="24"/>
              </w:rPr>
              <w:t>Libor Tichota</w:t>
            </w:r>
          </w:p>
          <w:p w:rsidR="00FF0692" w:rsidRPr="00635705" w:rsidRDefault="00FF0692" w:rsidP="00011EE7">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finanční výbor-předseda   </w:t>
            </w:r>
            <w:r>
              <w:rPr>
                <w:rFonts w:ascii="Arial" w:hAnsi="Arial" w:cs="Arial"/>
                <w:color w:val="000000"/>
                <w:sz w:val="24"/>
                <w:szCs w:val="24"/>
              </w:rPr>
              <w:t xml:space="preserve">  </w:t>
            </w:r>
            <w:r w:rsidR="00A24398">
              <w:rPr>
                <w:rFonts w:ascii="Arial" w:hAnsi="Arial" w:cs="Arial"/>
                <w:color w:val="000000"/>
                <w:sz w:val="24"/>
                <w:szCs w:val="24"/>
              </w:rPr>
              <w:t>Pavlína Havlová</w:t>
            </w:r>
          </w:p>
          <w:p w:rsidR="00FF0692" w:rsidRPr="00635705" w:rsidRDefault="00FF0692" w:rsidP="00011EE7">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kontrolní výbor-předseda </w:t>
            </w:r>
            <w:r>
              <w:rPr>
                <w:rFonts w:ascii="Arial" w:hAnsi="Arial" w:cs="Arial"/>
                <w:color w:val="000000"/>
                <w:sz w:val="24"/>
                <w:szCs w:val="24"/>
              </w:rPr>
              <w:t xml:space="preserve">   </w:t>
            </w:r>
            <w:r w:rsidR="00A24398">
              <w:rPr>
                <w:rFonts w:ascii="Arial" w:hAnsi="Arial" w:cs="Arial"/>
                <w:color w:val="000000"/>
                <w:sz w:val="24"/>
                <w:szCs w:val="24"/>
              </w:rPr>
              <w:t xml:space="preserve">Jiří </w:t>
            </w:r>
            <w:proofErr w:type="spellStart"/>
            <w:r w:rsidR="00A24398">
              <w:rPr>
                <w:rFonts w:ascii="Arial" w:hAnsi="Arial" w:cs="Arial"/>
                <w:color w:val="000000"/>
                <w:sz w:val="24"/>
                <w:szCs w:val="24"/>
              </w:rPr>
              <w:t>Holzmann</w:t>
            </w:r>
            <w:proofErr w:type="spellEnd"/>
          </w:p>
          <w:p w:rsidR="00FF0692" w:rsidRPr="00635705" w:rsidRDefault="00FF0692" w:rsidP="00766798">
            <w:pPr>
              <w:overflowPunct/>
              <w:autoSpaceDE/>
              <w:autoSpaceDN/>
              <w:adjustRightInd/>
              <w:textAlignment w:val="auto"/>
              <w:rPr>
                <w:rFonts w:ascii="Arial" w:hAnsi="Arial" w:cs="Arial"/>
                <w:sz w:val="24"/>
                <w:szCs w:val="24"/>
              </w:rPr>
            </w:pPr>
            <w:r w:rsidRPr="00635705">
              <w:rPr>
                <w:rFonts w:ascii="Arial" w:hAnsi="Arial" w:cs="Arial"/>
                <w:color w:val="000000"/>
                <w:sz w:val="24"/>
                <w:szCs w:val="24"/>
              </w:rPr>
              <w:t>nezařazení zastupitelé:</w:t>
            </w:r>
          </w:p>
          <w:tbl>
            <w:tblPr>
              <w:tblW w:w="9040" w:type="dxa"/>
              <w:tblCellMar>
                <w:left w:w="70" w:type="dxa"/>
                <w:right w:w="70" w:type="dxa"/>
              </w:tblCellMar>
              <w:tblLook w:val="04A0" w:firstRow="1" w:lastRow="0" w:firstColumn="1" w:lastColumn="0" w:noHBand="0" w:noVBand="1"/>
            </w:tblPr>
            <w:tblGrid>
              <w:gridCol w:w="9040"/>
            </w:tblGrid>
            <w:tr w:rsidR="00FF0692" w:rsidRPr="00635705" w:rsidTr="000E0E9B">
              <w:trPr>
                <w:trHeight w:val="375"/>
              </w:trPr>
              <w:tc>
                <w:tcPr>
                  <w:tcW w:w="4260" w:type="dxa"/>
                  <w:shd w:val="clear" w:color="auto" w:fill="auto"/>
                  <w:noWrap/>
                  <w:vAlign w:val="bottom"/>
                  <w:hideMark/>
                </w:tcPr>
                <w:p w:rsidR="00FF0692" w:rsidRPr="00635705" w:rsidRDefault="00FF0692" w:rsidP="00A24398">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                                            </w:t>
                  </w:r>
                  <w:r w:rsidR="00A24398">
                    <w:rPr>
                      <w:rFonts w:ascii="Arial" w:hAnsi="Arial" w:cs="Arial"/>
                      <w:color w:val="000000"/>
                      <w:sz w:val="24"/>
                      <w:szCs w:val="24"/>
                    </w:rPr>
                    <w:t xml:space="preserve">Michaela </w:t>
                  </w:r>
                  <w:proofErr w:type="spellStart"/>
                  <w:r w:rsidR="00A24398">
                    <w:rPr>
                      <w:rFonts w:ascii="Arial" w:hAnsi="Arial" w:cs="Arial"/>
                      <w:color w:val="000000"/>
                      <w:sz w:val="24"/>
                      <w:szCs w:val="24"/>
                    </w:rPr>
                    <w:t>Vohlídalová</w:t>
                  </w:r>
                  <w:proofErr w:type="spellEnd"/>
                </w:p>
              </w:tc>
            </w:tr>
            <w:tr w:rsidR="00FF0692" w:rsidRPr="00635705" w:rsidTr="000E0E9B">
              <w:trPr>
                <w:trHeight w:val="375"/>
              </w:trPr>
              <w:tc>
                <w:tcPr>
                  <w:tcW w:w="4260" w:type="dxa"/>
                  <w:shd w:val="clear" w:color="auto" w:fill="auto"/>
                  <w:noWrap/>
                  <w:vAlign w:val="bottom"/>
                  <w:hideMark/>
                </w:tcPr>
                <w:p w:rsidR="00FF0692" w:rsidRPr="00635705" w:rsidRDefault="00FF0692" w:rsidP="00011EE7">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                                            Petr </w:t>
                  </w:r>
                  <w:proofErr w:type="spellStart"/>
                  <w:r w:rsidRPr="00635705">
                    <w:rPr>
                      <w:rFonts w:ascii="Arial" w:hAnsi="Arial" w:cs="Arial"/>
                      <w:color w:val="000000"/>
                      <w:sz w:val="24"/>
                      <w:szCs w:val="24"/>
                    </w:rPr>
                    <w:t>Rudišar</w:t>
                  </w:r>
                  <w:proofErr w:type="spellEnd"/>
                </w:p>
              </w:tc>
            </w:tr>
            <w:tr w:rsidR="00FF0692" w:rsidRPr="00635705" w:rsidTr="000E0E9B">
              <w:trPr>
                <w:trHeight w:val="375"/>
              </w:trPr>
              <w:tc>
                <w:tcPr>
                  <w:tcW w:w="4260" w:type="dxa"/>
                  <w:shd w:val="clear" w:color="auto" w:fill="auto"/>
                  <w:noWrap/>
                  <w:vAlign w:val="bottom"/>
                  <w:hideMark/>
                </w:tcPr>
                <w:p w:rsidR="00FF0692" w:rsidRPr="00635705" w:rsidRDefault="00FF0692" w:rsidP="00011EE7">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                                            Milan Šnajdr</w:t>
                  </w:r>
                </w:p>
              </w:tc>
            </w:tr>
            <w:tr w:rsidR="00FF0692" w:rsidRPr="00635705" w:rsidTr="000E0E9B">
              <w:trPr>
                <w:trHeight w:val="375"/>
              </w:trPr>
              <w:tc>
                <w:tcPr>
                  <w:tcW w:w="4260" w:type="dxa"/>
                  <w:shd w:val="clear" w:color="auto" w:fill="auto"/>
                  <w:noWrap/>
                  <w:vAlign w:val="bottom"/>
                  <w:hideMark/>
                </w:tcPr>
                <w:p w:rsidR="00FF0692" w:rsidRPr="00635705" w:rsidRDefault="00FF0692" w:rsidP="00011EE7">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                                            Miroslav Těšínský</w:t>
                  </w:r>
                </w:p>
              </w:tc>
            </w:tr>
            <w:tr w:rsidR="00FF0692" w:rsidRPr="00635705" w:rsidTr="000E0E9B">
              <w:trPr>
                <w:trHeight w:val="375"/>
              </w:trPr>
              <w:tc>
                <w:tcPr>
                  <w:tcW w:w="4260" w:type="dxa"/>
                  <w:shd w:val="clear" w:color="auto" w:fill="auto"/>
                  <w:noWrap/>
                  <w:vAlign w:val="bottom"/>
                  <w:hideMark/>
                </w:tcPr>
                <w:p w:rsidR="00FF0692" w:rsidRPr="00635705" w:rsidRDefault="00FF0692" w:rsidP="00A24398">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                                            </w:t>
                  </w:r>
                  <w:r w:rsidR="00A24398">
                    <w:rPr>
                      <w:rFonts w:ascii="Arial" w:hAnsi="Arial" w:cs="Arial"/>
                      <w:color w:val="000000"/>
                      <w:sz w:val="24"/>
                      <w:szCs w:val="24"/>
                    </w:rPr>
                    <w:t>Miroslav Hořejší</w:t>
                  </w:r>
                </w:p>
              </w:tc>
            </w:tr>
            <w:tr w:rsidR="00FF0692" w:rsidRPr="00635705" w:rsidTr="000E0E9B">
              <w:trPr>
                <w:trHeight w:val="375"/>
              </w:trPr>
              <w:tc>
                <w:tcPr>
                  <w:tcW w:w="4260" w:type="dxa"/>
                  <w:shd w:val="clear" w:color="auto" w:fill="auto"/>
                  <w:noWrap/>
                  <w:vAlign w:val="bottom"/>
                  <w:hideMark/>
                </w:tcPr>
                <w:p w:rsidR="00FF0692" w:rsidRPr="00635705" w:rsidRDefault="00FF0692" w:rsidP="00A24398">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                                            </w:t>
                  </w:r>
                  <w:r w:rsidR="00A24398">
                    <w:rPr>
                      <w:rFonts w:ascii="Arial" w:hAnsi="Arial" w:cs="Arial"/>
                      <w:color w:val="000000"/>
                      <w:sz w:val="24"/>
                      <w:szCs w:val="24"/>
                    </w:rPr>
                    <w:t>Marek Hyka</w:t>
                  </w:r>
                </w:p>
              </w:tc>
            </w:tr>
            <w:tr w:rsidR="00FF0692" w:rsidRPr="00635705" w:rsidTr="000E0E9B">
              <w:trPr>
                <w:trHeight w:val="375"/>
              </w:trPr>
              <w:tc>
                <w:tcPr>
                  <w:tcW w:w="4260" w:type="dxa"/>
                  <w:shd w:val="clear" w:color="auto" w:fill="auto"/>
                  <w:noWrap/>
                  <w:vAlign w:val="bottom"/>
                  <w:hideMark/>
                </w:tcPr>
                <w:p w:rsidR="00FF0692" w:rsidRPr="00635705" w:rsidRDefault="00FF0692" w:rsidP="00A24398">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                                            </w:t>
                  </w:r>
                  <w:r w:rsidR="00A24398">
                    <w:rPr>
                      <w:rFonts w:ascii="Arial" w:hAnsi="Arial" w:cs="Arial"/>
                      <w:color w:val="000000"/>
                      <w:sz w:val="24"/>
                      <w:szCs w:val="24"/>
                    </w:rPr>
                    <w:t>Zdeněk Sikora</w:t>
                  </w:r>
                </w:p>
              </w:tc>
            </w:tr>
          </w:tbl>
          <w:p w:rsidR="00FF0692" w:rsidRPr="00635705" w:rsidRDefault="00FF0692" w:rsidP="00766798">
            <w:pPr>
              <w:overflowPunct/>
              <w:autoSpaceDE/>
              <w:autoSpaceDN/>
              <w:adjustRightInd/>
              <w:textAlignment w:val="auto"/>
              <w:rPr>
                <w:rFonts w:ascii="Arial" w:hAnsi="Arial" w:cs="Arial"/>
                <w:sz w:val="24"/>
                <w:szCs w:val="24"/>
              </w:rPr>
            </w:pPr>
          </w:p>
          <w:p w:rsidR="00FF0692" w:rsidRPr="00635705" w:rsidRDefault="00FF0692" w:rsidP="00766798">
            <w:pPr>
              <w:overflowPunct/>
              <w:autoSpaceDE/>
              <w:autoSpaceDN/>
              <w:adjustRightInd/>
              <w:textAlignment w:val="auto"/>
              <w:rPr>
                <w:rFonts w:ascii="Arial" w:hAnsi="Arial" w:cs="Arial"/>
                <w:sz w:val="24"/>
                <w:szCs w:val="24"/>
              </w:rPr>
            </w:pPr>
          </w:p>
          <w:p w:rsidR="00FF0692" w:rsidRPr="00635705" w:rsidRDefault="00FF0692" w:rsidP="00011EE7">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Ekonom</w:t>
            </w:r>
            <w:r w:rsidRPr="00635705">
              <w:rPr>
                <w:rFonts w:ascii="Arial" w:hAnsi="Arial" w:cs="Arial"/>
                <w:sz w:val="24"/>
                <w:szCs w:val="24"/>
              </w:rPr>
              <w:t xml:space="preserve">  </w:t>
            </w:r>
            <w:r>
              <w:rPr>
                <w:rFonts w:ascii="Arial" w:hAnsi="Arial" w:cs="Arial"/>
                <w:sz w:val="24"/>
                <w:szCs w:val="24"/>
              </w:rPr>
              <w:t xml:space="preserve">                              </w:t>
            </w:r>
            <w:r w:rsidRPr="00635705">
              <w:rPr>
                <w:rFonts w:ascii="Arial" w:hAnsi="Arial" w:cs="Arial"/>
                <w:color w:val="000000"/>
                <w:sz w:val="24"/>
                <w:szCs w:val="24"/>
              </w:rPr>
              <w:t>Jarmila Šálová</w:t>
            </w:r>
          </w:p>
          <w:p w:rsidR="00FF0692" w:rsidRPr="00635705" w:rsidRDefault="00FF0692" w:rsidP="00011EE7">
            <w:pPr>
              <w:overflowPunct/>
              <w:autoSpaceDE/>
              <w:autoSpaceDN/>
              <w:adjustRightInd/>
              <w:textAlignment w:val="auto"/>
              <w:rPr>
                <w:rFonts w:ascii="Arial" w:hAnsi="Arial" w:cs="Arial"/>
                <w:sz w:val="24"/>
                <w:szCs w:val="24"/>
              </w:rPr>
            </w:pPr>
            <w:r w:rsidRPr="00635705">
              <w:rPr>
                <w:rFonts w:ascii="Arial" w:hAnsi="Arial" w:cs="Arial"/>
                <w:color w:val="000000"/>
                <w:sz w:val="24"/>
                <w:szCs w:val="24"/>
              </w:rPr>
              <w:t>Matrika, evidence obyvatel   Ing. Michaela Nová</w:t>
            </w:r>
          </w:p>
          <w:p w:rsidR="00FF0692" w:rsidRDefault="00FF0692" w:rsidP="00766798">
            <w:pPr>
              <w:overflowPunct/>
              <w:autoSpaceDE/>
              <w:autoSpaceDN/>
              <w:adjustRightInd/>
              <w:textAlignment w:val="auto"/>
              <w:rPr>
                <w:rFonts w:ascii="Arial" w:hAnsi="Arial" w:cs="Arial"/>
                <w:color w:val="000000"/>
                <w:sz w:val="24"/>
                <w:szCs w:val="24"/>
              </w:rPr>
            </w:pPr>
          </w:p>
          <w:p w:rsidR="00FF0692" w:rsidRDefault="00FF0692" w:rsidP="00766798">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Technický pracovník             Jiří Šál</w:t>
            </w:r>
          </w:p>
          <w:p w:rsidR="00FF0692" w:rsidRDefault="00FF0692" w:rsidP="00766798">
            <w:pPr>
              <w:overflowPunct/>
              <w:autoSpaceDE/>
              <w:autoSpaceDN/>
              <w:adjustRightInd/>
              <w:textAlignment w:val="auto"/>
              <w:rPr>
                <w:rFonts w:ascii="Arial" w:hAnsi="Arial" w:cs="Arial"/>
                <w:color w:val="000000"/>
                <w:sz w:val="24"/>
                <w:szCs w:val="24"/>
              </w:rPr>
            </w:pPr>
          </w:p>
          <w:p w:rsidR="00FF0692" w:rsidRPr="00635705" w:rsidRDefault="00FF0692" w:rsidP="00766798">
            <w:pPr>
              <w:overflowPunct/>
              <w:autoSpaceDE/>
              <w:autoSpaceDN/>
              <w:adjustRightInd/>
              <w:textAlignment w:val="auto"/>
              <w:rPr>
                <w:rFonts w:ascii="Arial" w:hAnsi="Arial" w:cs="Arial"/>
                <w:sz w:val="24"/>
                <w:szCs w:val="24"/>
              </w:rPr>
            </w:pPr>
            <w:r w:rsidRPr="00635705">
              <w:rPr>
                <w:rFonts w:ascii="Arial" w:hAnsi="Arial" w:cs="Arial"/>
                <w:color w:val="000000"/>
                <w:sz w:val="24"/>
                <w:szCs w:val="24"/>
              </w:rPr>
              <w:t>Manuální pracovníci:</w:t>
            </w:r>
          </w:p>
          <w:tbl>
            <w:tblPr>
              <w:tblW w:w="9040" w:type="dxa"/>
              <w:tblCellMar>
                <w:left w:w="70" w:type="dxa"/>
                <w:right w:w="70" w:type="dxa"/>
              </w:tblCellMar>
              <w:tblLook w:val="04A0" w:firstRow="1" w:lastRow="0" w:firstColumn="1" w:lastColumn="0" w:noHBand="0" w:noVBand="1"/>
            </w:tblPr>
            <w:tblGrid>
              <w:gridCol w:w="9040"/>
            </w:tblGrid>
            <w:tr w:rsidR="00FF0692" w:rsidRPr="00635705" w:rsidTr="000E0E9B">
              <w:trPr>
                <w:trHeight w:val="375"/>
              </w:trPr>
              <w:tc>
                <w:tcPr>
                  <w:tcW w:w="4260" w:type="dxa"/>
                  <w:shd w:val="clear" w:color="auto" w:fill="auto"/>
                  <w:noWrap/>
                  <w:vAlign w:val="bottom"/>
                  <w:hideMark/>
                </w:tcPr>
                <w:p w:rsidR="00FF0692" w:rsidRPr="00635705" w:rsidRDefault="00FF0692" w:rsidP="0038597F">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 xml:space="preserve">                                             </w:t>
                  </w:r>
                  <w:r w:rsidRPr="00635705">
                    <w:rPr>
                      <w:rFonts w:ascii="Arial" w:hAnsi="Arial" w:cs="Arial"/>
                      <w:color w:val="000000"/>
                      <w:sz w:val="24"/>
                      <w:szCs w:val="24"/>
                    </w:rPr>
                    <w:t xml:space="preserve">Jiří Zima </w:t>
                  </w:r>
                </w:p>
              </w:tc>
            </w:tr>
            <w:tr w:rsidR="00FF0692" w:rsidRPr="00635705" w:rsidTr="000E0E9B">
              <w:trPr>
                <w:trHeight w:val="375"/>
              </w:trPr>
              <w:tc>
                <w:tcPr>
                  <w:tcW w:w="4260" w:type="dxa"/>
                  <w:shd w:val="clear" w:color="auto" w:fill="auto"/>
                  <w:noWrap/>
                  <w:vAlign w:val="bottom"/>
                  <w:hideMark/>
                </w:tcPr>
                <w:p w:rsidR="00FF0692" w:rsidRDefault="00FF0692" w:rsidP="0038597F">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                   </w:t>
                  </w:r>
                  <w:r>
                    <w:rPr>
                      <w:rFonts w:ascii="Arial" w:hAnsi="Arial" w:cs="Arial"/>
                      <w:color w:val="000000"/>
                      <w:sz w:val="24"/>
                      <w:szCs w:val="24"/>
                    </w:rPr>
                    <w:t xml:space="preserve">                          </w:t>
                  </w:r>
                  <w:r w:rsidRPr="00635705">
                    <w:rPr>
                      <w:rFonts w:ascii="Arial" w:hAnsi="Arial" w:cs="Arial"/>
                      <w:color w:val="000000"/>
                      <w:sz w:val="24"/>
                      <w:szCs w:val="24"/>
                    </w:rPr>
                    <w:t>Josef Kocián</w:t>
                  </w:r>
                </w:p>
                <w:p w:rsidR="00FF0692" w:rsidRDefault="00FF0692" w:rsidP="0038597F">
                  <w:pPr>
                    <w:overflowPunct/>
                    <w:autoSpaceDE/>
                    <w:autoSpaceDN/>
                    <w:adjustRightInd/>
                    <w:textAlignment w:val="auto"/>
                    <w:rPr>
                      <w:rFonts w:ascii="Arial" w:hAnsi="Arial" w:cs="Arial"/>
                      <w:color w:val="000000"/>
                      <w:sz w:val="24"/>
                      <w:szCs w:val="24"/>
                    </w:rPr>
                  </w:pPr>
                </w:p>
                <w:p w:rsidR="00FF0692" w:rsidRPr="00635705" w:rsidRDefault="00FF0692" w:rsidP="0038597F">
                  <w:pPr>
                    <w:overflowPunct/>
                    <w:autoSpaceDE/>
                    <w:autoSpaceDN/>
                    <w:adjustRightInd/>
                    <w:textAlignment w:val="auto"/>
                    <w:rPr>
                      <w:rFonts w:ascii="Arial" w:hAnsi="Arial" w:cs="Arial"/>
                      <w:color w:val="000000"/>
                      <w:sz w:val="24"/>
                      <w:szCs w:val="24"/>
                    </w:rPr>
                  </w:pPr>
                  <w:r w:rsidRPr="00635705">
                    <w:rPr>
                      <w:rFonts w:ascii="Arial" w:hAnsi="Arial" w:cs="Arial"/>
                      <w:color w:val="000000"/>
                      <w:sz w:val="24"/>
                      <w:szCs w:val="24"/>
                    </w:rPr>
                    <w:t xml:space="preserve">Uklízečka  </w:t>
                  </w:r>
                  <w:r>
                    <w:rPr>
                      <w:rFonts w:ascii="Arial" w:hAnsi="Arial" w:cs="Arial"/>
                      <w:color w:val="000000"/>
                      <w:sz w:val="24"/>
                      <w:szCs w:val="24"/>
                    </w:rPr>
                    <w:t xml:space="preserve">                           </w:t>
                  </w:r>
                  <w:r w:rsidRPr="00635705">
                    <w:rPr>
                      <w:rFonts w:ascii="Arial" w:hAnsi="Arial" w:cs="Arial"/>
                      <w:color w:val="000000"/>
                      <w:sz w:val="24"/>
                      <w:szCs w:val="24"/>
                    </w:rPr>
                    <w:t xml:space="preserve">Milena </w:t>
                  </w:r>
                  <w:proofErr w:type="spellStart"/>
                  <w:r w:rsidRPr="00635705">
                    <w:rPr>
                      <w:rFonts w:ascii="Arial" w:hAnsi="Arial" w:cs="Arial"/>
                      <w:color w:val="000000"/>
                      <w:sz w:val="24"/>
                      <w:szCs w:val="24"/>
                    </w:rPr>
                    <w:t>Juklíčková</w:t>
                  </w:r>
                  <w:proofErr w:type="spellEnd"/>
                </w:p>
              </w:tc>
            </w:tr>
          </w:tbl>
          <w:p w:rsidR="00FF0692" w:rsidRDefault="00FF0692" w:rsidP="00766798">
            <w:pPr>
              <w:overflowPunct/>
              <w:autoSpaceDE/>
              <w:autoSpaceDN/>
              <w:adjustRightInd/>
              <w:textAlignment w:val="auto"/>
              <w:rPr>
                <w:rFonts w:ascii="Arial" w:hAnsi="Arial" w:cs="Arial"/>
              </w:rPr>
            </w:pPr>
          </w:p>
          <w:p w:rsidR="00FF0692" w:rsidRDefault="00FF0692" w:rsidP="00766798">
            <w:pPr>
              <w:overflowPunct/>
              <w:autoSpaceDE/>
              <w:autoSpaceDN/>
              <w:adjustRightInd/>
              <w:textAlignment w:val="auto"/>
              <w:rPr>
                <w:rFonts w:ascii="Arial" w:hAnsi="Arial" w:cs="Arial"/>
              </w:rPr>
            </w:pPr>
          </w:p>
          <w:p w:rsidR="00FF0692" w:rsidRDefault="00FF0692" w:rsidP="00766798">
            <w:pPr>
              <w:overflowPunct/>
              <w:autoSpaceDE/>
              <w:autoSpaceDN/>
              <w:adjustRightInd/>
              <w:textAlignment w:val="auto"/>
              <w:rPr>
                <w:rFonts w:ascii="Arial" w:hAnsi="Arial" w:cs="Arial"/>
              </w:rPr>
            </w:pPr>
          </w:p>
          <w:p w:rsidR="00FF0692" w:rsidRPr="00FA6EF7" w:rsidRDefault="00FF0692" w:rsidP="00766798">
            <w:pPr>
              <w:overflowPunct/>
              <w:autoSpaceDE/>
              <w:autoSpaceDN/>
              <w:adjustRightInd/>
              <w:textAlignment w:val="auto"/>
              <w:rPr>
                <w:rFonts w:ascii="Arial" w:hAnsi="Arial" w:cs="Arial"/>
              </w:rPr>
            </w:pPr>
          </w:p>
        </w:tc>
        <w:tc>
          <w:tcPr>
            <w:tcW w:w="184" w:type="dxa"/>
            <w:tcBorders>
              <w:top w:val="nil"/>
              <w:left w:val="nil"/>
              <w:bottom w:val="nil"/>
              <w:right w:val="nil"/>
            </w:tcBorders>
            <w:shd w:val="clear" w:color="auto" w:fill="auto"/>
            <w:noWrap/>
            <w:vAlign w:val="bottom"/>
          </w:tcPr>
          <w:p w:rsidR="00FF0692" w:rsidRPr="00FA6EF7" w:rsidRDefault="00FF0692" w:rsidP="00766798">
            <w:pPr>
              <w:overflowPunct/>
              <w:autoSpaceDE/>
              <w:autoSpaceDN/>
              <w:adjustRightInd/>
              <w:textAlignment w:val="auto"/>
              <w:rPr>
                <w:rFonts w:ascii="Arial" w:hAnsi="Arial" w:cs="Arial"/>
              </w:rPr>
            </w:pPr>
          </w:p>
        </w:tc>
        <w:tc>
          <w:tcPr>
            <w:tcW w:w="1380" w:type="dxa"/>
            <w:tcBorders>
              <w:top w:val="nil"/>
              <w:left w:val="nil"/>
              <w:bottom w:val="nil"/>
              <w:right w:val="nil"/>
            </w:tcBorders>
            <w:shd w:val="clear" w:color="auto" w:fill="auto"/>
            <w:noWrap/>
            <w:vAlign w:val="bottom"/>
          </w:tcPr>
          <w:p w:rsidR="00FF0692" w:rsidRPr="00FA6EF7" w:rsidRDefault="00FF0692" w:rsidP="00766798">
            <w:pPr>
              <w:overflowPunct/>
              <w:autoSpaceDE/>
              <w:autoSpaceDN/>
              <w:adjustRightInd/>
              <w:textAlignment w:val="auto"/>
              <w:rPr>
                <w:rFonts w:ascii="Arial" w:hAnsi="Arial" w:cs="Arial"/>
              </w:rPr>
            </w:pPr>
          </w:p>
        </w:tc>
        <w:tc>
          <w:tcPr>
            <w:tcW w:w="184" w:type="dxa"/>
            <w:tcBorders>
              <w:top w:val="nil"/>
              <w:left w:val="nil"/>
              <w:bottom w:val="nil"/>
              <w:right w:val="nil"/>
            </w:tcBorders>
            <w:shd w:val="clear" w:color="auto" w:fill="auto"/>
            <w:noWrap/>
            <w:vAlign w:val="bottom"/>
          </w:tcPr>
          <w:p w:rsidR="00FF0692" w:rsidRPr="00FA6EF7" w:rsidRDefault="00FF0692" w:rsidP="00766798">
            <w:pPr>
              <w:overflowPunct/>
              <w:autoSpaceDE/>
              <w:autoSpaceDN/>
              <w:adjustRightInd/>
              <w:textAlignment w:val="auto"/>
              <w:rPr>
                <w:rFonts w:ascii="Arial" w:hAnsi="Arial" w:cs="Arial"/>
              </w:rPr>
            </w:pPr>
          </w:p>
        </w:tc>
        <w:tc>
          <w:tcPr>
            <w:tcW w:w="2715" w:type="dxa"/>
            <w:tcBorders>
              <w:top w:val="nil"/>
              <w:left w:val="nil"/>
              <w:bottom w:val="nil"/>
              <w:right w:val="nil"/>
            </w:tcBorders>
            <w:shd w:val="clear" w:color="auto" w:fill="auto"/>
            <w:noWrap/>
            <w:vAlign w:val="bottom"/>
          </w:tcPr>
          <w:p w:rsidR="00FF0692" w:rsidRPr="00FA6EF7" w:rsidRDefault="00FF0692" w:rsidP="00766798">
            <w:pPr>
              <w:overflowPunct/>
              <w:autoSpaceDE/>
              <w:autoSpaceDN/>
              <w:adjustRightInd/>
              <w:textAlignment w:val="auto"/>
              <w:rPr>
                <w:rFonts w:ascii="Arial" w:hAnsi="Arial" w:cs="Arial"/>
              </w:rPr>
            </w:pPr>
          </w:p>
        </w:tc>
      </w:tr>
    </w:tbl>
    <w:p w:rsidR="00766798" w:rsidRDefault="00766798" w:rsidP="00766798">
      <w:pPr>
        <w:numPr>
          <w:ilvl w:val="12"/>
          <w:numId w:val="0"/>
        </w:numPr>
        <w:spacing w:before="120" w:line="240" w:lineRule="exact"/>
        <w:rPr>
          <w:sz w:val="24"/>
        </w:rPr>
      </w:pPr>
      <w:r>
        <w:rPr>
          <w:sz w:val="24"/>
        </w:rPr>
        <w:t>Výše uvedená organizační struktura je nedílnou součástí tohoto organizačního řádu. Upřesňuje vztahy podřízenosti a nadřízenosti.</w:t>
      </w:r>
    </w:p>
    <w:p w:rsidR="00766798" w:rsidRDefault="00CB7841" w:rsidP="00766798">
      <w:pPr>
        <w:numPr>
          <w:ilvl w:val="12"/>
          <w:numId w:val="0"/>
        </w:numPr>
        <w:spacing w:before="120" w:line="240" w:lineRule="exact"/>
        <w:rPr>
          <w:sz w:val="24"/>
        </w:rPr>
      </w:pPr>
      <w:r>
        <w:rPr>
          <w:sz w:val="24"/>
        </w:rPr>
        <w:t xml:space="preserve">     Organizační změny může</w:t>
      </w:r>
      <w:r w:rsidR="00766798">
        <w:rPr>
          <w:sz w:val="24"/>
        </w:rPr>
        <w:t xml:space="preserve"> provádět starost</w:t>
      </w:r>
      <w:r>
        <w:rPr>
          <w:sz w:val="24"/>
        </w:rPr>
        <w:t>a</w:t>
      </w:r>
      <w:r w:rsidR="00766798">
        <w:rPr>
          <w:sz w:val="24"/>
        </w:rPr>
        <w:t>. Pokud tato změna není v rozporu s vnitřním platovým předpisem a limitem mzdových prostředků, je provedena a změna je podchycena v organizačním schématu.</w:t>
      </w:r>
    </w:p>
    <w:p w:rsidR="00766798" w:rsidRDefault="00766798" w:rsidP="00766798">
      <w:pPr>
        <w:numPr>
          <w:ilvl w:val="12"/>
          <w:numId w:val="0"/>
        </w:numPr>
        <w:spacing w:before="120" w:line="240" w:lineRule="exact"/>
        <w:rPr>
          <w:sz w:val="24"/>
        </w:rPr>
      </w:pPr>
    </w:p>
    <w:p w:rsidR="00766798" w:rsidRDefault="00766798" w:rsidP="00766798">
      <w:pPr>
        <w:pStyle w:val="Zkladntext21"/>
        <w:numPr>
          <w:ilvl w:val="12"/>
          <w:numId w:val="0"/>
        </w:numPr>
        <w:spacing w:line="240" w:lineRule="exact"/>
      </w:pPr>
      <w:r>
        <w:t>IV. Zásady řízení</w:t>
      </w:r>
    </w:p>
    <w:p w:rsidR="00766798" w:rsidRDefault="00766798" w:rsidP="00766798">
      <w:pPr>
        <w:numPr>
          <w:ilvl w:val="12"/>
          <w:numId w:val="0"/>
        </w:numPr>
        <w:spacing w:before="120" w:line="240" w:lineRule="exact"/>
        <w:rPr>
          <w:sz w:val="24"/>
        </w:rPr>
      </w:pPr>
      <w:r>
        <w:rPr>
          <w:sz w:val="24"/>
        </w:rPr>
        <w:t xml:space="preserve">     V obci jsou dodržovány tyto zásady řízení:</w:t>
      </w:r>
    </w:p>
    <w:p w:rsidR="00766798" w:rsidRDefault="00766798" w:rsidP="00766798">
      <w:pPr>
        <w:numPr>
          <w:ilvl w:val="2"/>
          <w:numId w:val="2"/>
        </w:numPr>
        <w:spacing w:before="120" w:line="240" w:lineRule="exact"/>
        <w:rPr>
          <w:sz w:val="24"/>
        </w:rPr>
      </w:pPr>
      <w:r>
        <w:rPr>
          <w:sz w:val="24"/>
        </w:rPr>
        <w:t xml:space="preserve">zásada jediného odpovědného vedoucího </w:t>
      </w:r>
    </w:p>
    <w:p w:rsidR="00766798" w:rsidRDefault="00766798" w:rsidP="00766798">
      <w:pPr>
        <w:numPr>
          <w:ilvl w:val="2"/>
          <w:numId w:val="2"/>
        </w:numPr>
        <w:spacing w:before="120" w:line="240" w:lineRule="exact"/>
        <w:rPr>
          <w:sz w:val="24"/>
        </w:rPr>
      </w:pPr>
      <w:r>
        <w:rPr>
          <w:sz w:val="24"/>
        </w:rPr>
        <w:t>personální a mzdová politika je vykonávána přímo v pravomoci starosty</w:t>
      </w:r>
    </w:p>
    <w:p w:rsidR="00766798" w:rsidRDefault="00766798" w:rsidP="00766798">
      <w:pPr>
        <w:numPr>
          <w:ilvl w:val="2"/>
          <w:numId w:val="2"/>
        </w:numPr>
        <w:spacing w:before="120" w:line="240" w:lineRule="exact"/>
        <w:rPr>
          <w:sz w:val="24"/>
        </w:rPr>
      </w:pPr>
      <w:r>
        <w:rPr>
          <w:sz w:val="24"/>
        </w:rPr>
        <w:t>všichni zaměstnanci jsou povinni v rámci své působnosti přijímat a aplikovat opatření starosty, nadřízených orgánů, zajišťovat včas vyřizování stížností a podnětů zaměstnanců</w:t>
      </w:r>
    </w:p>
    <w:p w:rsidR="00766798" w:rsidRDefault="00766798" w:rsidP="00766798">
      <w:pPr>
        <w:pStyle w:val="Nadpis2"/>
        <w:numPr>
          <w:ilvl w:val="12"/>
          <w:numId w:val="0"/>
        </w:numPr>
        <w:spacing w:line="240" w:lineRule="exact"/>
      </w:pPr>
    </w:p>
    <w:p w:rsidR="00766798" w:rsidRDefault="00766798" w:rsidP="00766798">
      <w:pPr>
        <w:pStyle w:val="Nadpis2"/>
        <w:numPr>
          <w:ilvl w:val="12"/>
          <w:numId w:val="0"/>
        </w:numPr>
        <w:spacing w:line="240" w:lineRule="exact"/>
      </w:pPr>
      <w:r>
        <w:t>V. Orgány řízení</w:t>
      </w:r>
    </w:p>
    <w:p w:rsidR="00766798" w:rsidRDefault="00766798" w:rsidP="00766798">
      <w:pPr>
        <w:numPr>
          <w:ilvl w:val="12"/>
          <w:numId w:val="0"/>
        </w:numPr>
        <w:spacing w:before="120" w:line="240" w:lineRule="exact"/>
        <w:rPr>
          <w:sz w:val="24"/>
        </w:rPr>
      </w:pPr>
      <w:r>
        <w:rPr>
          <w:sz w:val="24"/>
        </w:rPr>
        <w:t xml:space="preserve">     Nejvyšším orgánem řízení v obci je zastupitelstvo, které obec řídí v mezích daných Ústavou, zákonem o obcích a v intencích schváleného ročního rozpočtu a činností uvedených ve zřizovací listině. Starosta zastupuje obec navenek. Příkazy svým podřízeným uděluje buď ústně, ve složitějších případech písemně formou Nařízení starosty. Dalšími vnitropodnikovými normami sloužícími k řízení je pracovní řád, soubor směrnic účetní jednotky, vnitřní platový předpis. Starosta je statutárním orgánem. V jeho nepřítomnosti ho zastupuje místostarosta. Starosta svým podpisem schvaluje veškeré pracovněprávní úkony, dále veškeré vnitropodnikové plány, vystupuje jako příkazce operace, v souladu se zákonem o finanční kontrole.</w:t>
      </w:r>
    </w:p>
    <w:p w:rsidR="00766798" w:rsidRDefault="00766798" w:rsidP="00766798">
      <w:pPr>
        <w:numPr>
          <w:ilvl w:val="12"/>
          <w:numId w:val="0"/>
        </w:numPr>
        <w:spacing w:before="120" w:line="240" w:lineRule="exact"/>
        <w:rPr>
          <w:sz w:val="24"/>
        </w:rPr>
      </w:pPr>
      <w:r>
        <w:rPr>
          <w:sz w:val="24"/>
        </w:rPr>
        <w:t xml:space="preserve">     Zásadní rozhodnutí pro řízení obce jsou přijímána na </w:t>
      </w:r>
      <w:r>
        <w:rPr>
          <w:b/>
          <w:sz w:val="24"/>
        </w:rPr>
        <w:t>jednání zastupitelstva</w:t>
      </w:r>
      <w:r>
        <w:rPr>
          <w:sz w:val="24"/>
        </w:rPr>
        <w:t>, jehož zasedání se koná</w:t>
      </w:r>
      <w:r w:rsidR="00A72E7F">
        <w:rPr>
          <w:sz w:val="24"/>
        </w:rPr>
        <w:t xml:space="preserve"> podle potřeby,</w:t>
      </w:r>
      <w:r>
        <w:rPr>
          <w:sz w:val="24"/>
        </w:rPr>
        <w:t xml:space="preserve"> minimálně 1x za dva měsíce.</w:t>
      </w:r>
    </w:p>
    <w:p w:rsidR="00766798" w:rsidRDefault="00766798" w:rsidP="00766798">
      <w:pPr>
        <w:pStyle w:val="Nadpis2"/>
        <w:numPr>
          <w:ilvl w:val="12"/>
          <w:numId w:val="0"/>
        </w:numPr>
        <w:spacing w:line="240" w:lineRule="exact"/>
      </w:pPr>
      <w:r>
        <w:t>VI. Předávání a přejímání funkcí a činností</w:t>
      </w:r>
    </w:p>
    <w:p w:rsidR="00766798" w:rsidRDefault="00766798" w:rsidP="00766798">
      <w:pPr>
        <w:numPr>
          <w:ilvl w:val="12"/>
          <w:numId w:val="0"/>
        </w:numPr>
        <w:spacing w:before="120" w:line="240" w:lineRule="exact"/>
        <w:rPr>
          <w:sz w:val="24"/>
        </w:rPr>
      </w:pPr>
      <w:r>
        <w:rPr>
          <w:sz w:val="24"/>
        </w:rPr>
        <w:t xml:space="preserve">     Předávání a přejímání funkce se provádí zásadně písemně. Při předávání funkce se uvádí stav a výsledky činnosti útvaru, vč. seznamu nesplněných a rozpracovaných úkolů, seznam předávaných dokumentů, spisů, majetku, razítek, kontaktů. Za zpracování předávacího protokolu zodpovídá starosta. Přejímající zaměstnanec zodpovídá za řízení útvaru ode dne stanoveného starostou ve jmenovací listině, hmotně pak zodpovídá za přejímaný útvar ode dne podepsání předávacího protokolu.</w:t>
      </w:r>
    </w:p>
    <w:p w:rsidR="00766798" w:rsidRDefault="00766798" w:rsidP="00766798">
      <w:pPr>
        <w:numPr>
          <w:ilvl w:val="12"/>
          <w:numId w:val="0"/>
        </w:numPr>
        <w:spacing w:before="120" w:line="240" w:lineRule="exact"/>
        <w:rPr>
          <w:sz w:val="24"/>
        </w:rPr>
      </w:pPr>
      <w:r>
        <w:rPr>
          <w:sz w:val="24"/>
        </w:rPr>
        <w:t xml:space="preserve">     Při předávání a přejímání funkcí zaměstnanců, s nimiž je uzavřena dohoda o hmotné odpovědnosti, se provede mimořádná inventarizace svěřených prostředků. Její výsledek je součástí předávacího protokolu. Jeden výtisk předávacího protokolu se zakládá u starosty.     </w:t>
      </w:r>
    </w:p>
    <w:p w:rsidR="00766798" w:rsidRDefault="00766798" w:rsidP="00766798">
      <w:pPr>
        <w:numPr>
          <w:ilvl w:val="12"/>
          <w:numId w:val="0"/>
        </w:numPr>
        <w:spacing w:before="120" w:line="240" w:lineRule="exact"/>
        <w:rPr>
          <w:sz w:val="24"/>
        </w:rPr>
      </w:pPr>
    </w:p>
    <w:p w:rsidR="00A24398" w:rsidRDefault="00A24398" w:rsidP="00766798">
      <w:pPr>
        <w:numPr>
          <w:ilvl w:val="12"/>
          <w:numId w:val="0"/>
        </w:numPr>
        <w:spacing w:before="120" w:line="240" w:lineRule="exact"/>
        <w:rPr>
          <w:sz w:val="24"/>
        </w:rPr>
      </w:pPr>
      <w:r>
        <w:rPr>
          <w:sz w:val="24"/>
        </w:rPr>
        <w:t xml:space="preserve">Dne </w:t>
      </w:r>
      <w:proofErr w:type="gramStart"/>
      <w:r>
        <w:rPr>
          <w:sz w:val="24"/>
        </w:rPr>
        <w:t>19.10.2022</w:t>
      </w:r>
      <w:proofErr w:type="gramEnd"/>
      <w:r w:rsidR="00766798">
        <w:rPr>
          <w:sz w:val="24"/>
        </w:rPr>
        <w:t xml:space="preserve">                       </w:t>
      </w:r>
    </w:p>
    <w:p w:rsidR="00A24398" w:rsidRDefault="00A24398" w:rsidP="00766798">
      <w:pPr>
        <w:numPr>
          <w:ilvl w:val="12"/>
          <w:numId w:val="0"/>
        </w:numPr>
        <w:spacing w:before="120" w:line="240" w:lineRule="exact"/>
        <w:rPr>
          <w:sz w:val="24"/>
        </w:rPr>
      </w:pPr>
    </w:p>
    <w:p w:rsidR="00A24398" w:rsidRDefault="00A24398" w:rsidP="00766798">
      <w:pPr>
        <w:numPr>
          <w:ilvl w:val="12"/>
          <w:numId w:val="0"/>
        </w:numPr>
        <w:spacing w:before="120" w:line="240" w:lineRule="exact"/>
        <w:rPr>
          <w:sz w:val="24"/>
        </w:rPr>
      </w:pPr>
    </w:p>
    <w:p w:rsidR="00766798" w:rsidRDefault="00766798" w:rsidP="00A24398">
      <w:pPr>
        <w:numPr>
          <w:ilvl w:val="12"/>
          <w:numId w:val="0"/>
        </w:numPr>
        <w:spacing w:before="120" w:line="240" w:lineRule="exact"/>
        <w:ind w:left="708" w:firstLine="708"/>
        <w:rPr>
          <w:sz w:val="24"/>
        </w:rPr>
      </w:pPr>
      <w:bookmarkStart w:id="0" w:name="_GoBack"/>
      <w:bookmarkEnd w:id="0"/>
      <w:r>
        <w:rPr>
          <w:sz w:val="24"/>
        </w:rPr>
        <w:t xml:space="preserve">                                                                    starosta</w:t>
      </w:r>
    </w:p>
    <w:p w:rsidR="00766798" w:rsidRDefault="00766798" w:rsidP="00766798">
      <w:pPr>
        <w:numPr>
          <w:ilvl w:val="12"/>
          <w:numId w:val="0"/>
        </w:numPr>
        <w:spacing w:before="120" w:line="240" w:lineRule="exact"/>
        <w:rPr>
          <w:b/>
          <w:sz w:val="24"/>
          <w:u w:val="single"/>
        </w:rPr>
      </w:pPr>
    </w:p>
    <w:p w:rsidR="00766798" w:rsidRDefault="00766798"/>
    <w:sectPr w:rsidR="00766798" w:rsidSect="00FF0692">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964EB"/>
    <w:multiLevelType w:val="multilevel"/>
    <w:tmpl w:val="36666E1C"/>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59F549EC"/>
    <w:multiLevelType w:val="multilevel"/>
    <w:tmpl w:val="36666E1C"/>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98"/>
    <w:rsid w:val="00011EE7"/>
    <w:rsid w:val="000E0E9B"/>
    <w:rsid w:val="00146E60"/>
    <w:rsid w:val="001A5D32"/>
    <w:rsid w:val="00233937"/>
    <w:rsid w:val="0038597F"/>
    <w:rsid w:val="004A100C"/>
    <w:rsid w:val="005B2053"/>
    <w:rsid w:val="00635705"/>
    <w:rsid w:val="00766798"/>
    <w:rsid w:val="008D600F"/>
    <w:rsid w:val="009167EB"/>
    <w:rsid w:val="00931101"/>
    <w:rsid w:val="00A010BB"/>
    <w:rsid w:val="00A24398"/>
    <w:rsid w:val="00A72E7F"/>
    <w:rsid w:val="00CB7841"/>
    <w:rsid w:val="00CD3F52"/>
    <w:rsid w:val="00E87F82"/>
    <w:rsid w:val="00FF06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648AF"/>
  <w15:chartTrackingRefBased/>
  <w15:docId w15:val="{CA6913E7-F067-473F-9AF8-CEB41FA7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6798"/>
    <w:pPr>
      <w:overflowPunct w:val="0"/>
      <w:autoSpaceDE w:val="0"/>
      <w:autoSpaceDN w:val="0"/>
      <w:adjustRightInd w:val="0"/>
      <w:textAlignment w:val="baseline"/>
    </w:pPr>
  </w:style>
  <w:style w:type="paragraph" w:styleId="Nadpis2">
    <w:name w:val="heading 2"/>
    <w:basedOn w:val="Normln"/>
    <w:next w:val="Normln"/>
    <w:qFormat/>
    <w:rsid w:val="00766798"/>
    <w:pPr>
      <w:keepNext/>
      <w:spacing w:before="120"/>
      <w:outlineLvl w:val="1"/>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66798"/>
    <w:pPr>
      <w:spacing w:before="120" w:line="360" w:lineRule="atLeast"/>
    </w:pPr>
    <w:rPr>
      <w:sz w:val="24"/>
    </w:rPr>
  </w:style>
  <w:style w:type="paragraph" w:customStyle="1" w:styleId="Zkladntext21">
    <w:name w:val="Základní text 21"/>
    <w:basedOn w:val="Normln"/>
    <w:rsid w:val="00766798"/>
    <w:pPr>
      <w:spacing w:before="120"/>
    </w:pPr>
    <w:rPr>
      <w:b/>
      <w:sz w:val="24"/>
      <w:u w:val="single"/>
    </w:rPr>
  </w:style>
  <w:style w:type="paragraph" w:styleId="Textbubliny">
    <w:name w:val="Balloon Text"/>
    <w:basedOn w:val="Normln"/>
    <w:semiHidden/>
    <w:rsid w:val="00233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50653">
      <w:bodyDiv w:val="1"/>
      <w:marLeft w:val="0"/>
      <w:marRight w:val="0"/>
      <w:marTop w:val="0"/>
      <w:marBottom w:val="0"/>
      <w:divBdr>
        <w:top w:val="none" w:sz="0" w:space="0" w:color="auto"/>
        <w:left w:val="none" w:sz="0" w:space="0" w:color="auto"/>
        <w:bottom w:val="none" w:sz="0" w:space="0" w:color="auto"/>
        <w:right w:val="none" w:sz="0" w:space="0" w:color="auto"/>
      </w:divBdr>
    </w:div>
    <w:div w:id="759181916">
      <w:bodyDiv w:val="1"/>
      <w:marLeft w:val="0"/>
      <w:marRight w:val="0"/>
      <w:marTop w:val="0"/>
      <w:marBottom w:val="0"/>
      <w:divBdr>
        <w:top w:val="none" w:sz="0" w:space="0" w:color="auto"/>
        <w:left w:val="none" w:sz="0" w:space="0" w:color="auto"/>
        <w:bottom w:val="none" w:sz="0" w:space="0" w:color="auto"/>
        <w:right w:val="none" w:sz="0" w:space="0" w:color="auto"/>
      </w:divBdr>
    </w:div>
    <w:div w:id="1118260030">
      <w:bodyDiv w:val="1"/>
      <w:marLeft w:val="0"/>
      <w:marRight w:val="0"/>
      <w:marTop w:val="0"/>
      <w:marBottom w:val="0"/>
      <w:divBdr>
        <w:top w:val="none" w:sz="0" w:space="0" w:color="auto"/>
        <w:left w:val="none" w:sz="0" w:space="0" w:color="auto"/>
        <w:bottom w:val="none" w:sz="0" w:space="0" w:color="auto"/>
        <w:right w:val="none" w:sz="0" w:space="0" w:color="auto"/>
      </w:divBdr>
    </w:div>
    <w:div w:id="1275557187">
      <w:bodyDiv w:val="1"/>
      <w:marLeft w:val="0"/>
      <w:marRight w:val="0"/>
      <w:marTop w:val="0"/>
      <w:marBottom w:val="0"/>
      <w:divBdr>
        <w:top w:val="none" w:sz="0" w:space="0" w:color="auto"/>
        <w:left w:val="none" w:sz="0" w:space="0" w:color="auto"/>
        <w:bottom w:val="none" w:sz="0" w:space="0" w:color="auto"/>
        <w:right w:val="none" w:sz="0" w:space="0" w:color="auto"/>
      </w:divBdr>
    </w:div>
    <w:div w:id="1597206024">
      <w:bodyDiv w:val="1"/>
      <w:marLeft w:val="0"/>
      <w:marRight w:val="0"/>
      <w:marTop w:val="0"/>
      <w:marBottom w:val="0"/>
      <w:divBdr>
        <w:top w:val="none" w:sz="0" w:space="0" w:color="auto"/>
        <w:left w:val="none" w:sz="0" w:space="0" w:color="auto"/>
        <w:bottom w:val="none" w:sz="0" w:space="0" w:color="auto"/>
        <w:right w:val="none" w:sz="0" w:space="0" w:color="auto"/>
      </w:divBdr>
    </w:div>
    <w:div w:id="17343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788</Words>
  <Characters>4652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18/ O R G A N I Z A Č N Í   Ř Á D</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O R G A N I Z A Č N Í   Ř Á D</dc:title>
  <dc:subject/>
  <dc:creator>Salova</dc:creator>
  <cp:keywords/>
  <dc:description/>
  <cp:lastModifiedBy>Salova</cp:lastModifiedBy>
  <cp:revision>4</cp:revision>
  <cp:lastPrinted>2022-10-26T07:47:00Z</cp:lastPrinted>
  <dcterms:created xsi:type="dcterms:W3CDTF">2022-10-26T07:43:00Z</dcterms:created>
  <dcterms:modified xsi:type="dcterms:W3CDTF">2022-10-26T07:47:00Z</dcterms:modified>
</cp:coreProperties>
</file>